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82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hlraumboden - Neubau Stadthaus 4 - Bauwerke Münster Gmb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Nass- und Trockenhohlraumboden auf 12.800m2 über fünf Etagen und vier Bauteilen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